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16" w:rsidRPr="00AA3737" w:rsidRDefault="00E35B16" w:rsidP="00E35B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Pr="00AA3737" w:rsidRDefault="00E35B16" w:rsidP="00E35B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5B16" w:rsidRPr="00AA3737" w:rsidRDefault="00E35B16" w:rsidP="00E35B1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35B16" w:rsidRPr="00AA3737" w:rsidRDefault="00E35B16" w:rsidP="00E35B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E35B16" w:rsidRDefault="005B4F84" w:rsidP="00E35B16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Исх. № </w:t>
      </w:r>
      <w:r w:rsidRPr="005B4F84"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01-01366/22и</w:t>
      </w: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   от 18 февраля 2022 года</w:t>
      </w:r>
    </w:p>
    <w:p w:rsidR="00E35B16" w:rsidRPr="00AA3737" w:rsidRDefault="00E35B16" w:rsidP="00E35B1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35B16" w:rsidRPr="00AA3737" w:rsidRDefault="00E35B16" w:rsidP="00E35B1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35B16" w:rsidRPr="00AA3737" w:rsidRDefault="00E35B16" w:rsidP="00E35B1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E35B16" w:rsidRPr="00AA3737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E35B16" w:rsidRPr="00AA3737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35B16" w:rsidRPr="00AA3737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</w:t>
      </w: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е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E35B16" w:rsidRPr="00AA3737" w:rsidRDefault="00E35B16" w:rsidP="00E35B1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B16" w:rsidRPr="00AA3737" w:rsidRDefault="00E35B16" w:rsidP="00E35B1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B16" w:rsidRDefault="00E35B16" w:rsidP="00E35B16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10D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35B16" w:rsidRPr="00AA3737" w:rsidRDefault="00E35B16" w:rsidP="00E35B16">
      <w:pPr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E35B16" w:rsidRPr="00AA3737" w:rsidRDefault="00E35B16" w:rsidP="00E35B16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E35B16" w:rsidRPr="00781506" w:rsidRDefault="00E35B16" w:rsidP="00E35B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BE1">
        <w:rPr>
          <w:rFonts w:ascii="Times New Roman" w:eastAsia="Calibri" w:hAnsi="Times New Roman" w:cs="Times New Roman"/>
          <w:sz w:val="24"/>
          <w:szCs w:val="24"/>
        </w:rPr>
        <w:t>В январе 2022 года сведений об авариях, вызвавших загрязнение атмосферного воздуха в населенных пунктах, не поступало. Стационарной сетью наблюдений повышенных уровней загрязнения атмосферного воздуха, обусловленных аварийными ситуациями, не зарегистрировано (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сравнения: </w:t>
      </w:r>
      <w:r w:rsidRPr="00E55BE1">
        <w:rPr>
          <w:rFonts w:ascii="Times New Roman" w:eastAsia="Calibri" w:hAnsi="Times New Roman" w:cs="Times New Roman"/>
          <w:sz w:val="24"/>
          <w:szCs w:val="24"/>
        </w:rPr>
        <w:t>в январе 2021 г.- 1 аварийная ситуация).</w:t>
      </w:r>
    </w:p>
    <w:p w:rsidR="00E35B16" w:rsidRPr="00AA3737" w:rsidRDefault="00E35B16" w:rsidP="00E35B16">
      <w:pPr>
        <w:numPr>
          <w:ilvl w:val="1"/>
          <w:numId w:val="1"/>
        </w:num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5B16" w:rsidRDefault="00E35B16" w:rsidP="00E35B1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января в воде реки </w:t>
      </w:r>
      <w:proofErr w:type="spellStart"/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Шошмы</w:t>
      </w:r>
      <w:proofErr w:type="spellEnd"/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(приток р. Вятки, бассейн Волги), на участке, расположенном в 500 м ниже автодорожного моста у села Карелино </w:t>
      </w:r>
      <w:proofErr w:type="spellStart"/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Балтасинского</w:t>
      </w:r>
      <w:proofErr w:type="spellEnd"/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Татарстан (в 700 м ниже места сброса сточных вод АО "</w:t>
      </w:r>
      <w:proofErr w:type="spellStart"/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Балтасинское</w:t>
      </w:r>
      <w:proofErr w:type="spellEnd"/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многоотраслевое производственное предприятие жилищно-коммунального хозяйства»), специалистами ФГБУ «УГМС Республики Татарстан» Росгидромета был зарегистрирован дефицит кислорода (2,54 мг/л), соответствующий уровню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 загрязнения (</w:t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 «УГМС Республики Татарстан» Росгидромета, дефицит кислорода в речной воде был обусловлен неудовлетворительной работой очистных сооружений </w:t>
      </w:r>
      <w:proofErr w:type="spellStart"/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Балтасинского</w:t>
      </w:r>
      <w:proofErr w:type="spellEnd"/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маслодельно-молочного комбината.</w:t>
      </w:r>
    </w:p>
    <w:p w:rsidR="00E35B16" w:rsidRDefault="00E35B16" w:rsidP="00E35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12 января в реке Миассе (приток реки Исети, бассейн Иртыша) в черте г. Миасса Челябинской области (в 591 км выше устья, в 5,5 км ниже места впадения реки Черной)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специалистами </w:t>
      </w:r>
      <w:r w:rsidRPr="00A723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Челябинского ЦГМС – филиала ФГБУ «Уральское УГМС» Росгидромета</w:t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арегистрировано экстремально высокое загрязнение (</w:t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ЭВЗ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речной воды ионами марганца (53 ПДК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ВЗ азотом аммонийным (11 ПДК</w:t>
      </w:r>
      <w:proofErr w:type="gramStart"/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ионами цинка (11 ПДК), а также отмечен дефицит кислорода (2,5 мг/л), соответствующий уровню ВЗ. По данным Челябинского ЦГМС – филиала ФГБУ «</w:t>
      </w:r>
      <w:proofErr w:type="gramStart"/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Уральское</w:t>
      </w:r>
      <w:proofErr w:type="gramEnd"/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УГМС» Росгидромета, основной причиной загрязнения воды в реке Миассе являются промышленные и хозяйственно-бытовые сточные воды предприятий г. Миасса.</w:t>
      </w:r>
    </w:p>
    <w:p w:rsidR="00E35B16" w:rsidRDefault="00E35B16" w:rsidP="00E35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17 января в воде реки Дачной (бассейн Амура) в черте г. Арсеньева Приморского края специалистами ФГБУ «Приморское УГМС» Росгидромета был зафиксирован дефицит кислорода (1,94 мг/л), соответствующий критерию ЭВЗ. По данным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3AA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 «Приморское УГМС» Росгидромета</w:t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дефицит кислорода был обусловлен сбросом в реку недостаточно очищенных сточных вод с городских очистных сооружений.</w:t>
      </w:r>
    </w:p>
    <w:p w:rsidR="00E35B16" w:rsidRPr="007F233D" w:rsidRDefault="00E35B16" w:rsidP="00E35B16">
      <w:pPr>
        <w:pStyle w:val="a8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Почва</w:t>
      </w:r>
    </w:p>
    <w:p w:rsidR="00E35B16" w:rsidRPr="00A5036D" w:rsidRDefault="00E35B16" w:rsidP="00E35B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информации Главного управления МЧС России по Ростовской области,             10 января в г. Шахты Ростовской области при выезде с нефтебазы на бензовозе сорвало кран, вследствие чего произошел разлив автобензина на грунт.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разлитого бензина составил 8,1 т, площадь загрязнения уточняется.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мероприятия по ликвидации последствий аварии.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691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Угроза загрязнения водных объектов отсутствует.</w:t>
      </w:r>
    </w:p>
    <w:p w:rsidR="00E35B16" w:rsidRPr="00AA3737" w:rsidRDefault="00E35B16" w:rsidP="00E35B16">
      <w:p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E35B16" w:rsidRPr="00AA3737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E35B16" w:rsidRPr="00E55BE1" w:rsidRDefault="00E35B16" w:rsidP="00E35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поступившими в Един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дежурно-диспетчерск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(ЕДДС)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Дзержинска Нижегородской области в период с 17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30 мин до 20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мин.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января 2022 г. многочисленными обращениями жителей с жалобами на несвойственный для атмосферного воздуха запах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(признак ЭВЗ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западной части города специалистами ФГБУ «Верхне-Волжское УГМС» Росгидромета было обеспечено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оперативное предоставление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ЕДДС г. Дзержинск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  <w:proofErr w:type="gramEnd"/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фактических метеоусловиях. В указанный период отмечался ветер юго-восточного направления 1-2 м/с, влажность воздуха составляла 90%, наблюдался туман. По данным радиозондирования на аэрологической станции Нижний Новгород отмечалась приподнятая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версия температуры выше 230 м.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Нижегородской области 24 января действовало предупреждение о неблагоприятном метеоявлении – плотном тумане видимостью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метров и менее. Для предприятий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северо-западной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восточной промышленной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Дзержинск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действовало предупреждение о сокращении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объемов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выбросов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загрязняющих веществ в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атмосферный воздух в период неблагоприятных метеорологических условий. По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оперативных дежурных </w:t>
      </w:r>
      <w:r w:rsidRPr="00CC2C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в кризисных ситуациях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 ЦУКС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лавного управления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МЧС России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аварийных ситуаций, связанных с выбросами загрязняющих веществ в атмосферный воздух, не было отмечено.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отобранных на стационарных постах 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ударственной наблюдательной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загрязнением   атмосферного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 в жилах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Дзержинск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 превышений предельно допуст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имых концентраций загрязняющих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 в атмосферном воздухе города не было зафиксировано.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Возможной причиной изменения качества атмосферного воздуха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Дзержинск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поглощение каплями тумана примесей как вблизи подстилающей поверхности, так и из вышерасположенных, наиболее загрязненных слоев воздуха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E55B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2021 г. случаи ЭВЗ не отмечались).</w:t>
      </w:r>
    </w:p>
    <w:p w:rsidR="00E35B16" w:rsidRPr="00AA3737" w:rsidRDefault="00E35B16" w:rsidP="00E35B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 Федерации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ЭВЗ поверхностных вод веществ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1-го и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2-го классов опасности (превышение ПДК в 5 и более раз) наблюдательной сетью Росгидромета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на 1 водном объекте (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январе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также 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ЭВЗ поверхностных вод веществами 3-го и 4-го классов опасности (превышение ПДК в 50 и более раз) были отмечены наблюдательной сетью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29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случаи ЭВЗ поверхностных вод загрязняющими веществами 1-4 классов опасности были зафиксированы наблюдательной сетью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-    27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E35B16" w:rsidRPr="00AA3737" w:rsidRDefault="00E35B16" w:rsidP="00E35B16">
      <w:pPr>
        <w:spacing w:before="240"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E35B16" w:rsidRDefault="00E35B16" w:rsidP="00E35B1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E35B16" w:rsidRPr="00DE7DA2" w:rsidRDefault="00E35B16" w:rsidP="00E35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зарегистрированы по данным непрерывных  наблюдений в г. Нижн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Тагил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 (3 случая длительностью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мин. до 240 мин., до 19,8 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E7DA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E7DA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по данным дискретных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Уф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Республики Башкортостан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10,6 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E7DA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E7DA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Кабанского</w:t>
      </w:r>
      <w:proofErr w:type="spellEnd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10,0 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E7DA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E7DA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35B16" w:rsidRPr="00DE7DA2" w:rsidRDefault="00E35B16" w:rsidP="00E35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воздуха веществом 3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диоксидом серы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данным непрерывных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 были зарегистрированы в г. Медногорск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 (4 случая, до 21,3 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E7DA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E7DA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E35B16" w:rsidRPr="00DE7DA2" w:rsidRDefault="00E35B16" w:rsidP="00E35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 ВЗ атмосферного воздуха веществом 1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пиреном</w:t>
      </w:r>
      <w:proofErr w:type="spellEnd"/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дискретных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наблюдений был зарегистрирован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г. 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11,0 ПДК).</w:t>
      </w:r>
    </w:p>
    <w:p w:rsidR="00E35B16" w:rsidRPr="00DE7DA2" w:rsidRDefault="00E35B16" w:rsidP="00E35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январе 2022 г. в атмосферном воздухе 2 городов в 7 случаях по данным непрерывных наблюдений и в 3 населенных пунктах в 3 случаях по данным дискретных наблюдений были зарегистрированы концентрации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00C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00C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январе 2021 года  по данным дискретных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11 городах в 21 случае).</w:t>
      </w:r>
      <w:proofErr w:type="gramEnd"/>
    </w:p>
    <w:p w:rsidR="00E35B16" w:rsidRPr="00DE7DA2" w:rsidRDefault="00E35B16" w:rsidP="00E35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отопительным сезоном на постах госу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дарственной наблюдательной сети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 высокие среднемесячные концентрации вещества 1 класса опасности - 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Республике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г. Улан-Удэ (2 случая, до 22,6 ПДК), пос. 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Селенгинск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23,5 ПДК), в Забайкальском крае - в г. 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 случаев, до 53,8 ПДК)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сравнения: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январе 2021 г. –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в 3 населенных пунктах в 7 случаях.</w:t>
      </w:r>
    </w:p>
    <w:p w:rsidR="00E35B16" w:rsidRDefault="00E35B16" w:rsidP="00E35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ранее представленной справке об аварийном, экстремально высоком и высоком загрязнении окружающей среды и радиационной обстановке на территории Российской Федерации в декабре 2021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сообщаем, что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дискретных наблюдений высокие среднемесячные концентрации вещества 1 класса опасности - 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 в г. Новокузнецк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Кемеровской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 (3 случая, до 42,4 ПДК), г. Свирск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</w:t>
      </w:r>
      <w:proofErr w:type="gram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33,7 ПДК),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Братск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25,2 ПДК), г. Вихоревк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(1 случай, 24.4 ПДК), г. Черемхов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21,8 ПДК), г. Зим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19 ПДК), г. Усолье-Сибирско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случай, 15 ПДК), г. 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13 ПДК).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 связи с отопительным сезоном на постах государственной наблюдательной сети в декабре 2021 г. были зарегистрированы высокие среднемесячные концентрации вещества 1 класса опасности - 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Республике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г. Улан-Удэ (2 случая, до 25,6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пос. </w:t>
      </w:r>
      <w:proofErr w:type="spellStart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Селенгинск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17,9 ПДК), в Забайкальском крае - в г. 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случая,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35,0 ПДК)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сравнения:</w:t>
      </w:r>
      <w:r w:rsidRPr="00DE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декабре 2020 г. –  в 3 населенных пунктах в 7 случаях.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5B16" w:rsidRPr="00AA3737" w:rsidRDefault="00E35B16" w:rsidP="00E35B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было зарегистрировано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120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</w:t>
      </w:r>
      <w:r w:rsidRPr="00AA3737">
        <w:rPr>
          <w:rFonts w:ascii="Times New Roman" w:eastAsia="MS Mincho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2. </w:t>
      </w: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в бассейнах крупнейших рек страны, приведено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5B16" w:rsidRPr="00AA3737" w:rsidRDefault="00E35B16" w:rsidP="00E35B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35B16" w:rsidRPr="00AA3737" w:rsidRDefault="00E35B16" w:rsidP="00E35B16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E35B16" w:rsidRDefault="00E35B16" w:rsidP="00E35B16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E35B16" w:rsidRPr="00AA3737" w:rsidTr="00050516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16" w:rsidRPr="00AA37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E35B16" w:rsidRPr="00AA3737" w:rsidTr="0005051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16" w:rsidRPr="00AA3737" w:rsidRDefault="00E35B16" w:rsidP="000505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</w:p>
        </w:tc>
      </w:tr>
      <w:tr w:rsidR="00E35B16" w:rsidRPr="00AA3737" w:rsidTr="0005051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E35B16" w:rsidRPr="00AA3737" w:rsidTr="0005051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E35B16" w:rsidRPr="00AA3737" w:rsidTr="0005051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E35B16" w:rsidRPr="00AA3737" w:rsidTr="0005051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16" w:rsidRPr="00AA3737" w:rsidRDefault="00E35B16" w:rsidP="000505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E35B16" w:rsidRPr="00AA3737" w:rsidTr="0005051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E35B16" w:rsidRPr="00AA3737" w:rsidTr="0005051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E35B16" w:rsidRPr="00AA3737" w:rsidTr="0005051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E35B16" w:rsidRPr="00AA3737" w:rsidTr="0005051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Pr="00AA3737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E35B16" w:rsidRPr="00AA3737" w:rsidTr="0005051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Default="00E35B16" w:rsidP="000505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E35B16" w:rsidRDefault="00E35B16" w:rsidP="00E35B16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 реках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озерах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отмечено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9 % всех случаев ВЗ. </w:t>
      </w:r>
    </w:p>
    <w:p w:rsidR="00E35B16" w:rsidRPr="00AA3737" w:rsidRDefault="00E35B16" w:rsidP="00E35B16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случаев ВЗ по ингредиентам приведено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5B16" w:rsidRPr="00AA3737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35B16" w:rsidRPr="00AA3737" w:rsidRDefault="00E35B16" w:rsidP="00E35B1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E35B16" w:rsidRPr="00AA3737" w:rsidTr="00050516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16" w:rsidRPr="00AA37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16" w:rsidRPr="00AA37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16" w:rsidRPr="00AA37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Pr="00AA37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 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E58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 растворенный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Pr="00AA37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Pr="00AA37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Метанол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свинца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Pr="00AA37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Pr="00AA37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Фенолы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E35B16" w:rsidRPr="00AA3737" w:rsidTr="00050516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E35B16" w:rsidRDefault="00E35B16" w:rsidP="00E35B16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35B16" w:rsidRPr="00400C3F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 2022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отмечался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повышенный уровень загрязнения </w:t>
      </w: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атмосферного воздуха, который определялся СИ=1,1  и НП=1,7%.  </w:t>
      </w:r>
    </w:p>
    <w:p w:rsidR="00E35B16" w:rsidRPr="00400C3F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уровень загрязнения атмосферного воздуха определяли концентрации аммиака.</w:t>
      </w:r>
    </w:p>
    <w:p w:rsidR="00E35B16" w:rsidRPr="00400C3F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разовая концентрация аммиака достигала 1,1 </w:t>
      </w:r>
      <w:proofErr w:type="spellStart"/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00C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00C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утренние часы 9 января </w:t>
      </w: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«</w:t>
      </w:r>
      <w:proofErr w:type="spellStart"/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Зябликово</w:t>
      </w:r>
      <w:proofErr w:type="spellEnd"/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>» Южного административного округа г. Москвы.</w:t>
      </w: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1,0 </w:t>
      </w:r>
      <w:proofErr w:type="spellStart"/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00C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00C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 концентрации диоксида азота в районе «</w:t>
      </w:r>
      <w:proofErr w:type="spellStart"/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proofErr w:type="spellEnd"/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Восточного административного округа г. Москвы и аммиака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рай-</w:t>
      </w: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Pr="00400C3F" w:rsidRDefault="00E35B16" w:rsidP="00E35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онах</w:t>
      </w:r>
      <w:proofErr w:type="gramEnd"/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«Замоскворечье» Центрального административного округа г. Москвы и «Южное Тушино» Северо-Западного административного округа г. Москвы.</w:t>
      </w: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Концентрации оксида азота, оксида углерода, взвешенных веществ, фенола, хлорида водорода, сероводорода, формальдегида, ацетона, этилбензола, бензола, толуола и ксилола в атмосферном воздухе в целом по городу не превышали установленных гигиенических нормативов. </w:t>
      </w:r>
    </w:p>
    <w:p w:rsidR="00E35B16" w:rsidRPr="00400C3F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диоксида серы в воздухе было ниже предела обнаружения.</w:t>
      </w:r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Среднемесячные концентрации определяемых загрязняющих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 с учетом новых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00C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00C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  <w:r w:rsidRPr="0040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превышали установленных гигиенических нормативов.</w:t>
      </w:r>
    </w:p>
    <w:p w:rsidR="00E35B16" w:rsidRPr="004117B9" w:rsidRDefault="00E35B16" w:rsidP="00E35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5B16" w:rsidRPr="00D04B68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</w:t>
      </w:r>
      <w:r w:rsidRPr="006D5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обстановка </w:t>
      </w:r>
      <w:r w:rsidRPr="00D04B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территории Российской Федерации в январе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D04B68">
        <w:rPr>
          <w:rFonts w:ascii="Times New Roman" w:eastAsia="Times New Roman" w:hAnsi="Times New Roman" w:cs="Times New Roman"/>
          <w:sz w:val="24"/>
          <w:szCs w:val="20"/>
          <w:lang w:eastAsia="ru-RU"/>
        </w:rPr>
        <w:t>2022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на Чернобыльской АЭС и ФГУП «ПО «Маяк», и были на 2 - 7 порядков ниже установленных допустимых уровней в соответствии с гигиеническими нормативами.</w:t>
      </w:r>
    </w:p>
    <w:p w:rsidR="00E35B16" w:rsidRPr="00D04B68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04B68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Случаи регистрации повышенной суммарной плотности радиоактивных выпадений из воздуха, обусловленные естественными процессами, в прошедшем месяце не отмечались.</w:t>
      </w:r>
    </w:p>
    <w:p w:rsidR="00E35B16" w:rsidRPr="00D04B68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D04B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регистрации повышенной суммарной объемной радиоактивности приземного воздуха, обусловленные естественными процессами, отмечались в 5 случаях в 3 населенных пунктах: в г. Барнауле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Алтайского края </w:t>
      </w:r>
      <w:r w:rsidRPr="00D04B68">
        <w:rPr>
          <w:rFonts w:ascii="Times New Roman" w:eastAsia="Times New Roman" w:hAnsi="Times New Roman" w:cs="Times New Roman"/>
          <w:sz w:val="24"/>
          <w:szCs w:val="20"/>
          <w:lang w:eastAsia="ru-RU"/>
        </w:rPr>
        <w:t>в период с 26 декабря по 1 января, в г. Кызыл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D04B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04B6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Республики Тыв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ы</w:t>
      </w:r>
      <w:r w:rsidRPr="00D04B6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период с 9 по 11 и с 17 по 18 января и в с. Сухобузимское Красноярского края</w:t>
      </w:r>
      <w:r w:rsidRPr="00D0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14 - 15 января.</w:t>
      </w:r>
      <w:proofErr w:type="gramEnd"/>
    </w:p>
    <w:p w:rsidR="00E35B16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ежедневных измерений мощности </w:t>
      </w:r>
      <w:proofErr w:type="spellStart"/>
      <w:r w:rsidRPr="00D04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 w:rsidRPr="00D0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04B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МАЭД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D0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100-километровых зонах расположения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 и других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опасных объектов значения находились в пределах от 0,05 до 0,21 </w:t>
      </w:r>
      <w:proofErr w:type="spellStart"/>
      <w:r w:rsidRPr="00D04B68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D04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/ч, что соответствует уровням естественного радиационного фона.  </w:t>
      </w:r>
    </w:p>
    <w:p w:rsidR="00E35B16" w:rsidRPr="00D04B68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Pr="00D04B68" w:rsidRDefault="00E35B16" w:rsidP="00E35B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4B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Минимальные и максимальные значения М</w:t>
      </w:r>
      <w:r w:rsidRPr="00D04B68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Pr="00D04B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ЭД в </w:t>
      </w:r>
      <w:r w:rsidRPr="00D04B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100-км </w:t>
      </w:r>
      <w:r w:rsidRPr="00D04B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зон</w:t>
      </w:r>
      <w:r w:rsidRPr="00D04B68">
        <w:rPr>
          <w:rFonts w:ascii="Times New Roman" w:eastAsia="Times New Roman" w:hAnsi="Times New Roman" w:cs="Times New Roman"/>
          <w:sz w:val="24"/>
          <w:szCs w:val="24"/>
          <w:lang w:eastAsia="x-none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опасных</w:t>
      </w:r>
      <w:r w:rsidRPr="00D04B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объектов представлены</w:t>
      </w:r>
      <w:r w:rsidRPr="00D04B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04B6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приложении 4.</w:t>
      </w:r>
    </w:p>
    <w:p w:rsidR="00E35B16" w:rsidRPr="005633C5" w:rsidRDefault="00E35B16" w:rsidP="00E35B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35B16" w:rsidRPr="00AA3737" w:rsidRDefault="00E35B16" w:rsidP="00E35B1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л. в 1 экз.</w:t>
      </w:r>
    </w:p>
    <w:p w:rsidR="00E35B16" w:rsidRPr="00AA3737" w:rsidRDefault="00E35B16" w:rsidP="00E35B1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Pr="00AA3737" w:rsidRDefault="00E35B16" w:rsidP="00E35B1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Шумаков</w:t>
      </w:r>
    </w:p>
    <w:p w:rsidR="00E35B16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</w:pPr>
    </w:p>
    <w:p w:rsidR="00012D1F" w:rsidRDefault="00012D1F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 w:rsidP="00E35B16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E35B16" w:rsidRDefault="00E35B16" w:rsidP="00E35B16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январе 2022 года</w:t>
      </w:r>
    </w:p>
    <w:p w:rsidR="00E35B16" w:rsidRPr="005A7F3A" w:rsidRDefault="00E35B16" w:rsidP="00E35B16">
      <w:pPr>
        <w:spacing w:before="120" w:after="1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"/>
        <w:gridCol w:w="3487"/>
        <w:gridCol w:w="2111"/>
        <w:gridCol w:w="1681"/>
        <w:gridCol w:w="1708"/>
      </w:tblGrid>
      <w:tr w:rsidR="00E35B16" w:rsidRPr="005A7F3A" w:rsidTr="00050516">
        <w:trPr>
          <w:cantSplit/>
          <w:trHeight w:val="28"/>
          <w:tblHeader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5A7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5A7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5A7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A7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35B16" w:rsidRPr="005A7F3A" w:rsidTr="00050516">
        <w:trPr>
          <w:cantSplit/>
        </w:trPr>
        <w:tc>
          <w:tcPr>
            <w:tcW w:w="9469" w:type="dxa"/>
            <w:gridSpan w:val="5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A7F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87" w:type="dxa"/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Кандалакша </w:t>
            </w:r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</w:t>
            </w:r>
            <w:proofErr w:type="gram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5B16" w:rsidRPr="005A7F3A" w:rsidTr="00050516">
        <w:trPr>
          <w:cantSplit/>
        </w:trPr>
        <w:tc>
          <w:tcPr>
            <w:tcW w:w="9469" w:type="dxa"/>
            <w:gridSpan w:val="5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Вещества 3 класса опасности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Медногорск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Нюдуай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Рудная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рп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Краснореченский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д.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Чусовая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Первоуральск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5B16" w:rsidRPr="005A7F3A" w:rsidTr="00050516">
        <w:trPr>
          <w:cantSplit/>
        </w:trPr>
        <w:tc>
          <w:tcPr>
            <w:tcW w:w="9469" w:type="dxa"/>
            <w:gridSpan w:val="5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5A7F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Вязовка, г. Нижний </w:t>
            </w:r>
            <w:r w:rsidR="00D7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Тагил</w:t>
            </w:r>
            <w:bookmarkStart w:id="0" w:name="_GoBack"/>
            <w:bookmarkEnd w:id="0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Дачная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Арсеньев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1,94</w:t>
            </w: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87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Карла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устье</w:t>
            </w:r>
            <w:proofErr w:type="spellEnd"/>
          </w:p>
        </w:tc>
        <w:tc>
          <w:tcPr>
            <w:tcW w:w="2111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681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  <w:vMerge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7" w:type="dxa"/>
            <w:vMerge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1" w:type="dxa"/>
            <w:vMerge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87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Кубня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Чутеево</w:t>
            </w:r>
            <w:proofErr w:type="spellEnd"/>
          </w:p>
        </w:tc>
        <w:tc>
          <w:tcPr>
            <w:tcW w:w="2111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681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  <w:vMerge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7" w:type="dxa"/>
            <w:vMerge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1" w:type="dxa"/>
            <w:vMerge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Миасс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Миасс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Нижняя Ельцовка, </w:t>
            </w:r>
          </w:p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Ница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Краснослободское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Патрушиха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Екатеринбург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268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Плющиха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Полуй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Салехард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1,46</w:t>
            </w: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д.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Теча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Першинское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Звериноголовское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Тула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487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д.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Тимофеево</w:t>
            </w:r>
            <w:proofErr w:type="spellEnd"/>
          </w:p>
        </w:tc>
        <w:tc>
          <w:tcPr>
            <w:tcW w:w="2111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1,35</w:t>
            </w: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  <w:vMerge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7" w:type="dxa"/>
            <w:vMerge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1" w:type="dxa"/>
            <w:vMerge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Усть-Уйское</w:t>
            </w:r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487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Ук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Заводоуковск</w:t>
            </w:r>
            <w:proofErr w:type="spellEnd"/>
          </w:p>
        </w:tc>
        <w:tc>
          <w:tcPr>
            <w:tcW w:w="211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487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Чусовая</w:t>
            </w:r>
            <w:proofErr w:type="spellEnd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Первоуральск</w:t>
            </w:r>
            <w:proofErr w:type="spellEnd"/>
          </w:p>
        </w:tc>
        <w:tc>
          <w:tcPr>
            <w:tcW w:w="2111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106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  <w:vMerge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87" w:type="dxa"/>
            <w:vMerge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1" w:type="dxa"/>
            <w:vMerge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487" w:type="dxa"/>
            <w:vMerge w:val="restart"/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Кандалакша </w:t>
            </w:r>
          </w:p>
        </w:tc>
        <w:tc>
          <w:tcPr>
            <w:tcW w:w="2111" w:type="dxa"/>
            <w:vMerge w:val="restart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E35B16" w:rsidRPr="005A7F3A" w:rsidTr="00050516">
        <w:trPr>
          <w:cantSplit/>
        </w:trPr>
        <w:tc>
          <w:tcPr>
            <w:tcW w:w="482" w:type="dxa"/>
            <w:vMerge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vMerge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Merge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E35B16" w:rsidRPr="005A7F3A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708" w:type="dxa"/>
            <w:vAlign w:val="center"/>
          </w:tcPr>
          <w:p w:rsidR="00E35B16" w:rsidRPr="005A7F3A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</w:tbl>
    <w:p w:rsidR="00E35B16" w:rsidRPr="005A7F3A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Pr="00C464EE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4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C464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-  </w:t>
      </w:r>
      <w:r w:rsidRPr="00A52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концентрация приведена в мг/л; экстремально высокое загрязнение соответствует содержанию в воде растворенного кислорода в концентрациях 2 и менее мг/л; </w:t>
      </w:r>
    </w:p>
    <w:p w:rsidR="00E35B16" w:rsidRDefault="00E35B16" w:rsidP="00E35B16">
      <w:pPr>
        <w:spacing w:after="0"/>
      </w:pPr>
    </w:p>
    <w:p w:rsidR="00E35B16" w:rsidRDefault="00E35B16" w:rsidP="00E35B1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Pr="006C2425" w:rsidRDefault="00E35B16" w:rsidP="00E35B16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35B16" w:rsidRPr="00897A37" w:rsidRDefault="00E35B16" w:rsidP="00E35B16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35B16" w:rsidRPr="006C2425" w:rsidRDefault="00E35B16" w:rsidP="00E35B1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35B16" w:rsidRPr="000D00DC" w:rsidRDefault="00E35B16" w:rsidP="00E35B16">
      <w:pPr>
        <w:spacing w:before="120" w:after="1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23"/>
        <w:gridCol w:w="2287"/>
        <w:gridCol w:w="1135"/>
        <w:gridCol w:w="1059"/>
        <w:gridCol w:w="1135"/>
        <w:gridCol w:w="1172"/>
      </w:tblGrid>
      <w:tr w:rsidR="00E35B16" w:rsidRPr="00897A37" w:rsidTr="00050516">
        <w:trPr>
          <w:cantSplit/>
          <w:trHeight w:val="715"/>
          <w:tblHeader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9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E35B16" w:rsidRPr="00897A37" w:rsidTr="00050516">
        <w:trPr>
          <w:cantSplit/>
        </w:trPr>
        <w:tc>
          <w:tcPr>
            <w:tcW w:w="9468" w:type="dxa"/>
            <w:gridSpan w:val="7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Амур</w:t>
            </w:r>
            <w:proofErr w:type="spellEnd"/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Забайкальский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35B16" w:rsidRPr="00897A37" w:rsidTr="00050516">
        <w:tc>
          <w:tcPr>
            <w:tcW w:w="429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5B16" w:rsidRPr="00897A37" w:rsidTr="00050516">
        <w:tc>
          <w:tcPr>
            <w:tcW w:w="9468" w:type="dxa"/>
            <w:gridSpan w:val="7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Волга</w:t>
            </w:r>
            <w:proofErr w:type="spellEnd"/>
          </w:p>
        </w:tc>
      </w:tr>
      <w:tr w:rsidR="00E35B16" w:rsidRPr="00897A37" w:rsidTr="00050516">
        <w:tc>
          <w:tcPr>
            <w:tcW w:w="429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E35B16" w:rsidRPr="00897A37" w:rsidTr="00050516">
        <w:tc>
          <w:tcPr>
            <w:tcW w:w="9468" w:type="dxa"/>
            <w:gridSpan w:val="7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Иртыш</w:t>
            </w:r>
            <w:proofErr w:type="spellEnd"/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2,2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2,8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E35B16" w:rsidRPr="00897A37" w:rsidTr="00050516">
        <w:tc>
          <w:tcPr>
            <w:tcW w:w="9468" w:type="dxa"/>
            <w:gridSpan w:val="7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2,54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E35B16" w:rsidRPr="00897A37" w:rsidTr="00050516">
        <w:tc>
          <w:tcPr>
            <w:tcW w:w="429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</w:t>
            </w:r>
          </w:p>
        </w:tc>
      </w:tr>
      <w:tr w:rsidR="00E35B16" w:rsidRPr="00897A37" w:rsidTr="00050516">
        <w:tc>
          <w:tcPr>
            <w:tcW w:w="9468" w:type="dxa"/>
            <w:gridSpan w:val="7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42</w:t>
            </w:r>
          </w:p>
        </w:tc>
      </w:tr>
      <w:tr w:rsidR="00E35B16" w:rsidRPr="00897A37" w:rsidTr="00050516">
        <w:tc>
          <w:tcPr>
            <w:tcW w:w="9468" w:type="dxa"/>
            <w:gridSpan w:val="7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  <w:proofErr w:type="spellEnd"/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Москва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31</w:t>
            </w:r>
          </w:p>
        </w:tc>
      </w:tr>
      <w:tr w:rsidR="00E35B16" w:rsidRPr="00897A37" w:rsidTr="00050516">
        <w:tc>
          <w:tcPr>
            <w:tcW w:w="429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с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2,12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2,83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E35B16" w:rsidRPr="00897A37" w:rsidTr="00050516">
        <w:tc>
          <w:tcPr>
            <w:tcW w:w="429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35B16" w:rsidRPr="00897A37" w:rsidTr="00050516">
        <w:tc>
          <w:tcPr>
            <w:tcW w:w="9468" w:type="dxa"/>
            <w:gridSpan w:val="7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Сев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Двина</w:t>
            </w:r>
            <w:proofErr w:type="spellEnd"/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Коми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Метанол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35B16" w:rsidRPr="00897A37" w:rsidTr="00050516">
        <w:tc>
          <w:tcPr>
            <w:tcW w:w="9468" w:type="dxa"/>
            <w:gridSpan w:val="7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Терек</w:t>
            </w:r>
            <w:proofErr w:type="spellEnd"/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Осетия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Алания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5B16" w:rsidRPr="00897A37" w:rsidTr="00050516">
        <w:tc>
          <w:tcPr>
            <w:tcW w:w="9468" w:type="dxa"/>
            <w:gridSpan w:val="7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  <w:proofErr w:type="spellEnd"/>
          </w:p>
        </w:tc>
      </w:tr>
      <w:tr w:rsidR="00E35B16" w:rsidRPr="00897A37" w:rsidTr="00050516">
        <w:tc>
          <w:tcPr>
            <w:tcW w:w="429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E35B16" w:rsidRPr="00897A37" w:rsidTr="00050516">
        <w:tc>
          <w:tcPr>
            <w:tcW w:w="429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2,17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2,5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33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E35B16" w:rsidRPr="00897A37" w:rsidTr="00050516">
        <w:tc>
          <w:tcPr>
            <w:tcW w:w="429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2,5</w:t>
            </w: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5B16" w:rsidRPr="00897A37" w:rsidTr="00050516">
        <w:tc>
          <w:tcPr>
            <w:tcW w:w="9468" w:type="dxa"/>
            <w:gridSpan w:val="7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Урал</w:t>
            </w:r>
            <w:proofErr w:type="spellEnd"/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Оренбургская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32</w:t>
            </w:r>
          </w:p>
        </w:tc>
      </w:tr>
      <w:tr w:rsidR="00E35B16" w:rsidRPr="00897A37" w:rsidTr="00050516">
        <w:tc>
          <w:tcPr>
            <w:tcW w:w="9468" w:type="dxa"/>
            <w:gridSpan w:val="7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рек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897A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озера</w:t>
            </w:r>
          </w:p>
        </w:tc>
      </w:tr>
      <w:tr w:rsidR="00E35B16" w:rsidRPr="00897A37" w:rsidTr="00050516">
        <w:tc>
          <w:tcPr>
            <w:tcW w:w="429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Бенз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(а)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пирен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31</w:t>
            </w:r>
          </w:p>
        </w:tc>
      </w:tr>
      <w:tr w:rsidR="00E35B16" w:rsidRPr="00897A37" w:rsidTr="00050516">
        <w:tc>
          <w:tcPr>
            <w:tcW w:w="429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5B16" w:rsidRPr="00897A37" w:rsidTr="00050516">
        <w:tc>
          <w:tcPr>
            <w:tcW w:w="429" w:type="dxa"/>
            <w:vMerge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E35B16" w:rsidRPr="00897A37" w:rsidTr="00050516">
        <w:tc>
          <w:tcPr>
            <w:tcW w:w="429" w:type="dxa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E35B16" w:rsidRPr="00897A37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9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E35B16" w:rsidRPr="00897A37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97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E35B16" w:rsidRPr="00AC1C90" w:rsidRDefault="00E35B16" w:rsidP="00E35B1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2E0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E35B16" w:rsidRPr="00E22E0D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5B16" w:rsidRDefault="00E35B16" w:rsidP="00E35B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5B16" w:rsidRDefault="00E35B16" w:rsidP="00E35B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5B16" w:rsidRPr="006C2425" w:rsidRDefault="00E35B16" w:rsidP="00E35B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5B16" w:rsidRDefault="00E35B16" w:rsidP="00E35B16">
      <w:pPr>
        <w:spacing w:after="0" w:line="240" w:lineRule="auto"/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E35B16" w:rsidRDefault="00E35B16" w:rsidP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Default="00E35B16"/>
    <w:p w:rsidR="00E35B16" w:rsidRPr="00E33D50" w:rsidRDefault="00E35B16" w:rsidP="00E35B16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AAD9F74" wp14:editId="11CAEE6C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E35B16" w:rsidRPr="00E33D50" w:rsidRDefault="00E35B16" w:rsidP="00050516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E35B16" w:rsidRPr="00E33D50" w:rsidRDefault="00E35B16" w:rsidP="00050516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E35B16" w:rsidRPr="00E33D50" w:rsidTr="00050516">
        <w:tc>
          <w:tcPr>
            <w:tcW w:w="95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35B16" w:rsidRPr="00E33D50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E35B16" w:rsidRPr="00E33D50" w:rsidRDefault="00E35B16" w:rsidP="00E35B16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E35B16" w:rsidRPr="00E33D50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35B16" w:rsidRPr="00E33D50" w:rsidRDefault="00E35B16" w:rsidP="00E35B16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Pr="00E33D50" w:rsidRDefault="00E35B16" w:rsidP="00E35B16">
      <w:pPr>
        <w:rPr>
          <w:rFonts w:ascii="Calibri" w:eastAsia="Times New Roman" w:hAnsi="Calibri" w:cs="Times New Roman"/>
          <w:lang w:eastAsia="ru-RU"/>
        </w:rPr>
      </w:pPr>
    </w:p>
    <w:p w:rsidR="00E35B16" w:rsidRPr="00E33D50" w:rsidRDefault="00E35B16" w:rsidP="00E35B16"/>
    <w:p w:rsidR="00E35B16" w:rsidRPr="00E33D50" w:rsidRDefault="00E35B16" w:rsidP="00E35B16"/>
    <w:p w:rsidR="00E35B16" w:rsidRPr="00E33D50" w:rsidRDefault="00E35B16" w:rsidP="00E35B16"/>
    <w:p w:rsidR="00E35B16" w:rsidRPr="00E33D50" w:rsidRDefault="00E35B16" w:rsidP="00E35B16"/>
    <w:p w:rsidR="00E35B16" w:rsidRPr="00E33D50" w:rsidRDefault="00E35B16" w:rsidP="00E35B16"/>
    <w:p w:rsidR="00E35B16" w:rsidRPr="00E33D50" w:rsidRDefault="00E35B16" w:rsidP="00E35B16"/>
    <w:p w:rsidR="00E35B16" w:rsidRPr="00E33D50" w:rsidRDefault="00E35B16" w:rsidP="00E35B16"/>
    <w:p w:rsidR="00E35B16" w:rsidRDefault="00E35B16" w:rsidP="00E35B16"/>
    <w:p w:rsidR="00E35B16" w:rsidRDefault="00E35B16" w:rsidP="00E35B16"/>
    <w:p w:rsidR="00E35B16" w:rsidRDefault="00E35B16" w:rsidP="00E35B16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E35B16" w:rsidRPr="00183175" w:rsidRDefault="00E35B16" w:rsidP="00E35B1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35B16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E35B16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E35B16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2022 года</w:t>
      </w:r>
    </w:p>
    <w:p w:rsidR="00E35B16" w:rsidRDefault="00E35B16" w:rsidP="00E35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E35B16" w:rsidTr="00050516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E35B16" w:rsidTr="00050516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E35B16" w:rsidTr="00050516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</w:t>
            </w:r>
          </w:p>
        </w:tc>
      </w:tr>
      <w:tr w:rsidR="00E35B16" w:rsidTr="00050516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E35B16" w:rsidTr="00050516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0,21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E35B16" w:rsidRDefault="00E35B16" w:rsidP="0005051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E35B16" w:rsidTr="00050516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5B16" w:rsidRDefault="00E35B16" w:rsidP="000505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</w:tbl>
    <w:p w:rsidR="00E35B16" w:rsidRDefault="00E35B16" w:rsidP="00E35B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B16" w:rsidRDefault="00E35B16" w:rsidP="00E35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E35B16" w:rsidRDefault="00E35B16" w:rsidP="00E35B16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5B16" w:rsidRDefault="00E35B16" w:rsidP="00E35B16"/>
    <w:p w:rsidR="00E35B16" w:rsidRDefault="00E35B16" w:rsidP="00E35B16"/>
    <w:p w:rsidR="00E35B16" w:rsidRDefault="00E35B16" w:rsidP="00E35B16"/>
    <w:p w:rsidR="00E35B16" w:rsidRDefault="00E35B16"/>
    <w:sectPr w:rsidR="00E35B16" w:rsidSect="00D35C3C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36" w:rsidRDefault="004C6B36" w:rsidP="00E35B16">
      <w:pPr>
        <w:spacing w:after="0" w:line="240" w:lineRule="auto"/>
      </w:pPr>
      <w:r>
        <w:separator/>
      </w:r>
    </w:p>
  </w:endnote>
  <w:endnote w:type="continuationSeparator" w:id="0">
    <w:p w:rsidR="004C6B36" w:rsidRDefault="004C6B36" w:rsidP="00E3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36" w:rsidRDefault="004C6B36" w:rsidP="00E35B16">
      <w:pPr>
        <w:spacing w:after="0" w:line="240" w:lineRule="auto"/>
      </w:pPr>
      <w:r>
        <w:separator/>
      </w:r>
    </w:p>
  </w:footnote>
  <w:footnote w:type="continuationSeparator" w:id="0">
    <w:p w:rsidR="004C6B36" w:rsidRDefault="004C6B36" w:rsidP="00E35B16">
      <w:pPr>
        <w:spacing w:after="0" w:line="240" w:lineRule="auto"/>
      </w:pPr>
      <w:r>
        <w:continuationSeparator/>
      </w:r>
    </w:p>
  </w:footnote>
  <w:footnote w:id="1">
    <w:p w:rsidR="00E35B16" w:rsidRDefault="00E35B16" w:rsidP="00E35B16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5E7534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5E7534">
        <w:rPr>
          <w:rFonts w:ascii="Times New Roman" w:hAnsi="Times New Roman" w:cs="Times New Roman"/>
        </w:rPr>
        <w:t>рыбохозяйственных</w:t>
      </w:r>
      <w:proofErr w:type="spellEnd"/>
      <w:r w:rsidRPr="005E7534">
        <w:rPr>
          <w:rFonts w:ascii="Times New Roman" w:hAnsi="Times New Roman" w:cs="Times New Roman"/>
        </w:rPr>
        <w:t xml:space="preserve"> водных объектов</w:t>
      </w:r>
    </w:p>
  </w:footnote>
  <w:footnote w:id="2">
    <w:p w:rsidR="00E35B16" w:rsidRPr="005E7534" w:rsidRDefault="00E35B16" w:rsidP="00E35B16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5E7534">
        <w:rPr>
          <w:rFonts w:ascii="Times New Roman" w:hAnsi="Times New Roman" w:cs="Times New Roman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5E7534">
        <w:rPr>
          <w:rFonts w:ascii="Times New Roman" w:hAnsi="Times New Roman" w:cs="Times New Roman"/>
        </w:rPr>
        <w:t>ПДКм.р</w:t>
      </w:r>
      <w:proofErr w:type="spellEnd"/>
      <w:r w:rsidRPr="005E7534">
        <w:rPr>
          <w:rFonts w:ascii="Times New Roman" w:hAnsi="Times New Roman" w:cs="Times New Roman"/>
        </w:rPr>
        <w:t>.):</w:t>
      </w:r>
    </w:p>
    <w:p w:rsidR="00E35B16" w:rsidRPr="005E7534" w:rsidRDefault="00E35B16" w:rsidP="00E35B16">
      <w:pPr>
        <w:pStyle w:val="a5"/>
        <w:jc w:val="both"/>
        <w:rPr>
          <w:rFonts w:ascii="Times New Roman" w:hAnsi="Times New Roman" w:cs="Times New Roman"/>
        </w:rPr>
      </w:pPr>
      <w:r w:rsidRPr="005E7534">
        <w:rPr>
          <w:rFonts w:ascii="Times New Roman" w:hAnsi="Times New Roman" w:cs="Times New Roman"/>
        </w:rPr>
        <w:tab/>
        <w:t>в 20-29 раз при сохранении этого уровня более 2-х суток;</w:t>
      </w:r>
    </w:p>
    <w:p w:rsidR="00E35B16" w:rsidRPr="005E7534" w:rsidRDefault="00E35B16" w:rsidP="00E35B16">
      <w:pPr>
        <w:pStyle w:val="a5"/>
        <w:jc w:val="both"/>
        <w:rPr>
          <w:rFonts w:ascii="Times New Roman" w:hAnsi="Times New Roman" w:cs="Times New Roman"/>
        </w:rPr>
      </w:pPr>
      <w:r w:rsidRPr="005E7534">
        <w:rPr>
          <w:rFonts w:ascii="Times New Roman" w:hAnsi="Times New Roman" w:cs="Times New Roman"/>
        </w:rPr>
        <w:tab/>
        <w:t>в 30-49 раз при сохранении этого уровня от 8 часов и более;</w:t>
      </w:r>
    </w:p>
    <w:p w:rsidR="00E35B16" w:rsidRPr="005E7534" w:rsidRDefault="00E35B16" w:rsidP="00E35B16">
      <w:pPr>
        <w:pStyle w:val="a5"/>
        <w:jc w:val="both"/>
        <w:rPr>
          <w:rFonts w:ascii="Times New Roman" w:hAnsi="Times New Roman" w:cs="Times New Roman"/>
        </w:rPr>
      </w:pPr>
      <w:r w:rsidRPr="005E7534">
        <w:rPr>
          <w:rFonts w:ascii="Times New Roman" w:hAnsi="Times New Roman" w:cs="Times New Roman"/>
        </w:rPr>
        <w:tab/>
        <w:t>в 50 и более раз;</w:t>
      </w:r>
    </w:p>
    <w:p w:rsidR="00E35B16" w:rsidRPr="005E7534" w:rsidRDefault="00E35B16" w:rsidP="00E35B16">
      <w:pPr>
        <w:pStyle w:val="a5"/>
        <w:jc w:val="both"/>
        <w:rPr>
          <w:rFonts w:ascii="Times New Roman" w:hAnsi="Times New Roman" w:cs="Times New Roman"/>
        </w:rPr>
      </w:pPr>
      <w:r w:rsidRPr="005E7534">
        <w:rPr>
          <w:rFonts w:ascii="Times New Roman" w:hAnsi="Times New Roman" w:cs="Times New Roman"/>
        </w:rPr>
        <w:t xml:space="preserve">              визуальные и органолептические признаки: появление устойчивого, не свойственного данной местности (сезону) запаха; обнаружение влияния воздуха на органы чувств человека; выпадение подкрашенных дождей и других атмосферных осадков, появление осадков специфического запаха или несвойственного привкуса.</w:t>
      </w:r>
    </w:p>
  </w:footnote>
  <w:footnote w:id="3">
    <w:p w:rsidR="00E35B16" w:rsidRPr="00400C3F" w:rsidRDefault="00E35B16" w:rsidP="00E35B16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400C3F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400C3F">
        <w:rPr>
          <w:rFonts w:ascii="Times New Roman" w:hAnsi="Times New Roman" w:cs="Times New Roman"/>
        </w:rPr>
        <w:t>ПДКм.р</w:t>
      </w:r>
      <w:proofErr w:type="spellEnd"/>
      <w:r w:rsidRPr="00400C3F">
        <w:rPr>
          <w:rFonts w:ascii="Times New Roman" w:hAnsi="Times New Roman" w:cs="Times New Roman"/>
        </w:rPr>
        <w:t>.) в 10 и более раз;</w:t>
      </w:r>
    </w:p>
  </w:footnote>
  <w:footnote w:id="4">
    <w:p w:rsidR="00E35B16" w:rsidRPr="00400C3F" w:rsidRDefault="00E35B16" w:rsidP="00E35B16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400C3F">
        <w:rPr>
          <w:rFonts w:ascii="Times New Roman" w:hAnsi="Times New Roman" w:cs="Times New Roman"/>
        </w:rPr>
        <w:t xml:space="preserve">максимальная из </w:t>
      </w:r>
      <w:proofErr w:type="gramStart"/>
      <w:r w:rsidRPr="00400C3F">
        <w:rPr>
          <w:rFonts w:ascii="Times New Roman" w:hAnsi="Times New Roman" w:cs="Times New Roman"/>
        </w:rPr>
        <w:t>среднемесячных</w:t>
      </w:r>
      <w:proofErr w:type="gramEnd"/>
      <w:r w:rsidRPr="00400C3F">
        <w:rPr>
          <w:rFonts w:ascii="Times New Roman" w:hAnsi="Times New Roman" w:cs="Times New Roman"/>
        </w:rPr>
        <w:t xml:space="preserve"> концентрация, деленная на </w:t>
      </w:r>
      <w:proofErr w:type="spellStart"/>
      <w:r w:rsidRPr="00400C3F">
        <w:rPr>
          <w:rFonts w:ascii="Times New Roman" w:hAnsi="Times New Roman" w:cs="Times New Roman"/>
        </w:rPr>
        <w:t>ПДК</w:t>
      </w:r>
      <w:r w:rsidRPr="00400C3F">
        <w:rPr>
          <w:rFonts w:ascii="Times New Roman" w:hAnsi="Times New Roman" w:cs="Times New Roman"/>
          <w:vertAlign w:val="subscript"/>
        </w:rPr>
        <w:t>с.с</w:t>
      </w:r>
      <w:proofErr w:type="spellEnd"/>
      <w:r w:rsidRPr="00400C3F">
        <w:rPr>
          <w:rFonts w:ascii="Times New Roman" w:hAnsi="Times New Roman" w:cs="Times New Roman"/>
          <w:vertAlign w:val="subscript"/>
        </w:rPr>
        <w:t>.</w:t>
      </w:r>
    </w:p>
  </w:footnote>
  <w:footnote w:id="5">
    <w:p w:rsidR="00E35B16" w:rsidRPr="001952A0" w:rsidRDefault="00E35B16" w:rsidP="00E35B16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1952A0">
        <w:rPr>
          <w:rFonts w:ascii="Times New Roman" w:hAnsi="Times New Roman" w:cs="Times New Roman"/>
        </w:rPr>
        <w:t>Степень загрязнения атмосферного воздуха оценивается  при сравнении концентраций примесей (в мг/м</w:t>
      </w:r>
      <w:r w:rsidRPr="00716128">
        <w:rPr>
          <w:rFonts w:ascii="Times New Roman" w:hAnsi="Times New Roman" w:cs="Times New Roman"/>
          <w:vertAlign w:val="superscript"/>
        </w:rPr>
        <w:t>3</w:t>
      </w:r>
      <w:r w:rsidRPr="001952A0">
        <w:rPr>
          <w:rFonts w:ascii="Times New Roman" w:hAnsi="Times New Roman" w:cs="Times New Roman"/>
        </w:rPr>
        <w:t>, мкг/м</w:t>
      </w:r>
      <w:r w:rsidRPr="00716128">
        <w:rPr>
          <w:rFonts w:ascii="Times New Roman" w:hAnsi="Times New Roman" w:cs="Times New Roman"/>
          <w:vertAlign w:val="superscript"/>
        </w:rPr>
        <w:t>3</w:t>
      </w:r>
      <w:r w:rsidRPr="001952A0">
        <w:rPr>
          <w:rFonts w:ascii="Times New Roman" w:hAnsi="Times New Roman" w:cs="Times New Roman"/>
        </w:rPr>
        <w:t>) с ПДК – предельно допустимыми концентрациями примесей, установленными  Минздравом России.</w:t>
      </w:r>
    </w:p>
    <w:p w:rsidR="00E35B16" w:rsidRPr="001952A0" w:rsidRDefault="00E35B16" w:rsidP="00E35B16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952A0">
        <w:rPr>
          <w:rFonts w:ascii="Times New Roman" w:hAnsi="Times New Roman" w:cs="Times New Roman"/>
        </w:rPr>
        <w:t xml:space="preserve">Для оценки уровня загрязнения атмосферного воздуха за месяц используются два показателя качества воздуха: </w:t>
      </w:r>
    </w:p>
    <w:p w:rsidR="00E35B16" w:rsidRPr="001952A0" w:rsidRDefault="00E35B16" w:rsidP="00E35B16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стандартный индекс СИ – наибольшая, измеренная за короткий период времени, концен</w:t>
      </w:r>
      <w:r>
        <w:rPr>
          <w:rFonts w:ascii="Times New Roman" w:hAnsi="Times New Roman" w:cs="Times New Roman"/>
        </w:rPr>
        <w:t xml:space="preserve">трация примеси, деленная на </w:t>
      </w:r>
      <w:proofErr w:type="spellStart"/>
      <w:r>
        <w:rPr>
          <w:rFonts w:ascii="Times New Roman" w:hAnsi="Times New Roman" w:cs="Times New Roman"/>
        </w:rPr>
        <w:t>ПДК</w:t>
      </w:r>
      <w:r w:rsidRPr="00716128">
        <w:rPr>
          <w:rFonts w:ascii="Times New Roman" w:hAnsi="Times New Roman" w:cs="Times New Roman"/>
          <w:vertAlign w:val="subscript"/>
        </w:rPr>
        <w:t>м.р</w:t>
      </w:r>
      <w:proofErr w:type="spellEnd"/>
      <w:r w:rsidRPr="00716128">
        <w:rPr>
          <w:rFonts w:ascii="Times New Roman" w:hAnsi="Times New Roman" w:cs="Times New Roman"/>
          <w:vertAlign w:val="subscript"/>
        </w:rPr>
        <w:t>.</w:t>
      </w:r>
      <w:r w:rsidRPr="001952A0">
        <w:rPr>
          <w:rFonts w:ascii="Times New Roman" w:hAnsi="Times New Roman" w:cs="Times New Roman"/>
        </w:rPr>
        <w:t>;</w:t>
      </w:r>
    </w:p>
    <w:p w:rsidR="00E35B16" w:rsidRPr="001952A0" w:rsidRDefault="00E35B16" w:rsidP="00E35B16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наибольш</w:t>
      </w:r>
      <w:r>
        <w:rPr>
          <w:rFonts w:ascii="Times New Roman" w:hAnsi="Times New Roman" w:cs="Times New Roman"/>
        </w:rPr>
        <w:t xml:space="preserve">ая повторяемость превышения </w:t>
      </w:r>
      <w:proofErr w:type="spellStart"/>
      <w:r>
        <w:rPr>
          <w:rFonts w:ascii="Times New Roman" w:hAnsi="Times New Roman" w:cs="Times New Roman"/>
        </w:rPr>
        <w:t>ПДК</w:t>
      </w:r>
      <w:r w:rsidRPr="00716128">
        <w:rPr>
          <w:rFonts w:ascii="Times New Roman" w:hAnsi="Times New Roman" w:cs="Times New Roman"/>
          <w:vertAlign w:val="subscript"/>
        </w:rPr>
        <w:t>м.р</w:t>
      </w:r>
      <w:proofErr w:type="spellEnd"/>
      <w:r w:rsidRPr="00716128">
        <w:rPr>
          <w:rFonts w:ascii="Times New Roman" w:hAnsi="Times New Roman" w:cs="Times New Roman"/>
          <w:vertAlign w:val="subscript"/>
        </w:rPr>
        <w:t>.</w:t>
      </w:r>
      <w:r w:rsidRPr="001952A0">
        <w:rPr>
          <w:rFonts w:ascii="Times New Roman" w:hAnsi="Times New Roman" w:cs="Times New Roman"/>
        </w:rPr>
        <w:t xml:space="preserve"> – НП, %.</w:t>
      </w:r>
    </w:p>
    <w:p w:rsidR="00E35B16" w:rsidRPr="001952A0" w:rsidRDefault="00E35B16" w:rsidP="00E35B16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Уровень загрязнения воздуха </w:t>
      </w:r>
      <w:r w:rsidRPr="001952A0">
        <w:rPr>
          <w:rFonts w:ascii="Times New Roman" w:hAnsi="Times New Roman" w:cs="Times New Roman"/>
        </w:rPr>
        <w:t>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E35B16" w:rsidRPr="001952A0" w:rsidRDefault="00E35B16" w:rsidP="00E35B16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низкий</w:t>
      </w:r>
      <w:proofErr w:type="gramEnd"/>
      <w:r w:rsidRPr="001952A0">
        <w:rPr>
          <w:rFonts w:ascii="Times New Roman" w:hAnsi="Times New Roman" w:cs="Times New Roman"/>
        </w:rPr>
        <w:t xml:space="preserve"> при СИ =  0-1 , НП = 0%;</w:t>
      </w:r>
    </w:p>
    <w:p w:rsidR="00E35B16" w:rsidRPr="001952A0" w:rsidRDefault="00E35B16" w:rsidP="00E35B16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повышенный</w:t>
      </w:r>
      <w:proofErr w:type="gramEnd"/>
      <w:r w:rsidRPr="001952A0">
        <w:rPr>
          <w:rFonts w:ascii="Times New Roman" w:hAnsi="Times New Roman" w:cs="Times New Roman"/>
        </w:rPr>
        <w:t xml:space="preserve"> при СИ =2-4, НП = 1-19%;</w:t>
      </w:r>
    </w:p>
    <w:p w:rsidR="00E35B16" w:rsidRPr="001952A0" w:rsidRDefault="00E35B16" w:rsidP="00E35B16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высокий</w:t>
      </w:r>
      <w:proofErr w:type="gramEnd"/>
      <w:r w:rsidRPr="001952A0">
        <w:rPr>
          <w:rFonts w:ascii="Times New Roman" w:hAnsi="Times New Roman" w:cs="Times New Roman"/>
        </w:rPr>
        <w:t xml:space="preserve"> при СИ=5-10; НП=20-49%;</w:t>
      </w:r>
    </w:p>
    <w:p w:rsidR="00E35B16" w:rsidRPr="001952A0" w:rsidRDefault="00E35B16" w:rsidP="00E35B16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очень </w:t>
      </w:r>
      <w:proofErr w:type="gramStart"/>
      <w:r w:rsidRPr="001952A0">
        <w:rPr>
          <w:rFonts w:ascii="Times New Roman" w:hAnsi="Times New Roman" w:cs="Times New Roman"/>
        </w:rPr>
        <w:t>высокий</w:t>
      </w:r>
      <w:proofErr w:type="gramEnd"/>
      <w:r w:rsidRPr="001952A0">
        <w:rPr>
          <w:rFonts w:ascii="Times New Roman" w:hAnsi="Times New Roman" w:cs="Times New Roman"/>
        </w:rPr>
        <w:t xml:space="preserve"> при СИ &gt;10; НП ≥50%.</w:t>
      </w:r>
    </w:p>
    <w:p w:rsidR="00E35B16" w:rsidRPr="001952A0" w:rsidRDefault="00E35B16" w:rsidP="00E35B16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</w:footnote>
  <w:footnote w:id="6">
    <w:p w:rsidR="00E35B16" w:rsidRPr="00AF312B" w:rsidRDefault="00E35B16" w:rsidP="00E35B16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proofErr w:type="gramStart"/>
      <w:r w:rsidRPr="00AF312B">
        <w:rPr>
          <w:rFonts w:ascii="Times New Roman" w:hAnsi="Times New Roman" w:cs="Times New Roman"/>
        </w:rPr>
        <w:t xml:space="preserve">С  01.03.2021 г. постановлением Главного государственного санитарного врача Российской Федерации от 28 января 2021 г. № 2 введены в действие новые санитарные правила и нормы  СанПиН 1.2.3685-21 «Гигиенические нормативы и требования к обеспечению безопасности и (или) безвредности для человека факторов среды обитания», в справке учитывались измененные ПДК </w:t>
      </w:r>
      <w:proofErr w:type="spellStart"/>
      <w:r w:rsidRPr="00AF312B">
        <w:rPr>
          <w:rFonts w:ascii="Times New Roman" w:hAnsi="Times New Roman" w:cs="Times New Roman"/>
        </w:rPr>
        <w:t>с.с</w:t>
      </w:r>
      <w:proofErr w:type="spellEnd"/>
      <w:r w:rsidRPr="00AF312B">
        <w:rPr>
          <w:rFonts w:ascii="Times New Roman" w:hAnsi="Times New Roman" w:cs="Times New Roman"/>
        </w:rPr>
        <w:t>. для отдельных загрязняющих веществ: диоксида и оксида азота, аммиака, бензола, фторида</w:t>
      </w:r>
      <w:proofErr w:type="gramEnd"/>
      <w:r w:rsidRPr="00AF312B">
        <w:rPr>
          <w:rFonts w:ascii="Times New Roman" w:hAnsi="Times New Roman" w:cs="Times New Roman"/>
        </w:rPr>
        <w:t xml:space="preserve"> водорода.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350739"/>
      <w:docPartObj>
        <w:docPartGallery w:val="Page Numbers (Top of Page)"/>
        <w:docPartUnique/>
      </w:docPartObj>
    </w:sdtPr>
    <w:sdtEndPr/>
    <w:sdtContent>
      <w:p w:rsidR="0077690A" w:rsidRDefault="009E0F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BD3">
          <w:rPr>
            <w:noProof/>
          </w:rPr>
          <w:t>9</w:t>
        </w:r>
        <w:r>
          <w:fldChar w:fldCharType="end"/>
        </w:r>
      </w:p>
    </w:sdtContent>
  </w:sdt>
  <w:p w:rsidR="00D35C3C" w:rsidRDefault="004C6B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3C" w:rsidRDefault="004C6B36">
    <w:pPr>
      <w:pStyle w:val="a3"/>
      <w:jc w:val="center"/>
    </w:pPr>
  </w:p>
  <w:p w:rsidR="00D35C3C" w:rsidRDefault="004C6B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28"/>
    <w:rsid w:val="00012D1F"/>
    <w:rsid w:val="00183175"/>
    <w:rsid w:val="002C08A3"/>
    <w:rsid w:val="004C6B36"/>
    <w:rsid w:val="005B4F84"/>
    <w:rsid w:val="009E0F66"/>
    <w:rsid w:val="00D76BD3"/>
    <w:rsid w:val="00E35B16"/>
    <w:rsid w:val="00F3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B16"/>
  </w:style>
  <w:style w:type="paragraph" w:styleId="a5">
    <w:name w:val="footnote text"/>
    <w:basedOn w:val="a"/>
    <w:link w:val="a6"/>
    <w:uiPriority w:val="99"/>
    <w:semiHidden/>
    <w:unhideWhenUsed/>
    <w:rsid w:val="00E35B1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35B1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35B16"/>
    <w:rPr>
      <w:vertAlign w:val="superscript"/>
    </w:rPr>
  </w:style>
  <w:style w:type="paragraph" w:styleId="a8">
    <w:name w:val="List Paragraph"/>
    <w:basedOn w:val="a"/>
    <w:uiPriority w:val="34"/>
    <w:qFormat/>
    <w:rsid w:val="00E35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B16"/>
  </w:style>
  <w:style w:type="paragraph" w:styleId="a5">
    <w:name w:val="footnote text"/>
    <w:basedOn w:val="a"/>
    <w:link w:val="a6"/>
    <w:uiPriority w:val="99"/>
    <w:semiHidden/>
    <w:unhideWhenUsed/>
    <w:rsid w:val="00E35B1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35B1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35B16"/>
    <w:rPr>
      <w:vertAlign w:val="superscript"/>
    </w:rPr>
  </w:style>
  <w:style w:type="paragraph" w:styleId="a8">
    <w:name w:val="List Paragraph"/>
    <w:basedOn w:val="a"/>
    <w:uiPriority w:val="34"/>
    <w:qFormat/>
    <w:rsid w:val="00E35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3298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2022-02-22T06:30:00Z</dcterms:created>
  <dcterms:modified xsi:type="dcterms:W3CDTF">2022-02-22T06:30:00Z</dcterms:modified>
</cp:coreProperties>
</file>